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Thank you all for attending the workforce engagement event today with Clinical Directors.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Even though we had low number of attendees it was good to have representation across all 3 ICP footprints with lively discussion and a good starting point for </w:t>
      </w:r>
      <w:proofErr w:type="spellStart"/>
      <w:r w:rsidRPr="002B7048">
        <w:rPr>
          <w:rFonts w:asciiTheme="majorHAnsi" w:hAnsiTheme="majorHAnsi"/>
          <w:sz w:val="28"/>
          <w:szCs w:val="28"/>
          <w:lang w:val="en-GB"/>
        </w:rPr>
        <w:t>ongoing</w:t>
      </w:r>
      <w:proofErr w:type="spellEnd"/>
      <w:r w:rsidRPr="002B7048">
        <w:rPr>
          <w:rFonts w:asciiTheme="majorHAnsi" w:hAnsiTheme="majorHAnsi"/>
          <w:sz w:val="28"/>
          <w:szCs w:val="28"/>
          <w:lang w:val="en-GB"/>
        </w:rPr>
        <w:t xml:space="preserve"> dialogue.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These are a few points that I gathered during the discussions: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1. There is, as expected, varying workforce challenges across the ICS 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2.  Think we got the point where there was an appetite to think outside the box to aid recruitment and retention and general acceptance of current offers by </w:t>
      </w:r>
      <w:proofErr w:type="spellStart"/>
      <w:r w:rsidRPr="002B7048">
        <w:rPr>
          <w:rFonts w:asciiTheme="majorHAnsi" w:hAnsiTheme="majorHAnsi"/>
          <w:sz w:val="28"/>
          <w:szCs w:val="28"/>
          <w:lang w:val="en-GB"/>
        </w:rPr>
        <w:t>PHoenix</w:t>
      </w:r>
      <w:proofErr w:type="spellEnd"/>
      <w:r w:rsidRPr="002B7048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gramStart"/>
      <w:r w:rsidRPr="002B7048">
        <w:rPr>
          <w:rFonts w:asciiTheme="majorHAnsi" w:hAnsiTheme="majorHAnsi"/>
          <w:sz w:val="28"/>
          <w:szCs w:val="28"/>
          <w:lang w:val="en-GB"/>
        </w:rPr>
        <w:t>programmes(</w:t>
      </w:r>
      <w:proofErr w:type="gramEnd"/>
      <w:r w:rsidRPr="002B7048">
        <w:rPr>
          <w:rFonts w:asciiTheme="majorHAnsi" w:hAnsiTheme="majorHAnsi"/>
          <w:sz w:val="28"/>
          <w:szCs w:val="28"/>
          <w:lang w:val="en-GB"/>
        </w:rPr>
        <w:t>PP) and Nottinghamshire alliance of training hubs.(NATH)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3. There was a suggestion around Portfolio roles around clinical leadership areas for DES part of PCN- this can be at individual </w:t>
      </w:r>
      <w:proofErr w:type="spellStart"/>
      <w:r w:rsidRPr="002B7048">
        <w:rPr>
          <w:rFonts w:asciiTheme="majorHAnsi" w:hAnsiTheme="majorHAnsi"/>
          <w:sz w:val="28"/>
          <w:szCs w:val="28"/>
          <w:lang w:val="en-GB"/>
        </w:rPr>
        <w:t>pcn</w:t>
      </w:r>
      <w:proofErr w:type="spellEnd"/>
      <w:r w:rsidRPr="002B7048">
        <w:rPr>
          <w:rFonts w:asciiTheme="majorHAnsi" w:hAnsiTheme="majorHAnsi"/>
          <w:sz w:val="28"/>
          <w:szCs w:val="28"/>
          <w:lang w:val="en-GB"/>
        </w:rPr>
        <w:t xml:space="preserve"> or at network of networks level- we can build this into the preceptor/PCN portfolio offer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4. Will be useful to articulate current offers available in an easy to read format for various clinical colleagues (GP, trainees, nurses, HCA, practice manager)- aware we have that already for PP but need to link in that with information for NATH and then send out to CDs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5. </w:t>
      </w:r>
      <w:proofErr w:type="spellStart"/>
      <w:r w:rsidRPr="002B7048">
        <w:rPr>
          <w:rFonts w:asciiTheme="majorHAnsi" w:hAnsiTheme="majorHAnsi"/>
          <w:sz w:val="28"/>
          <w:szCs w:val="28"/>
          <w:lang w:val="en-GB"/>
        </w:rPr>
        <w:t>Ongoing</w:t>
      </w:r>
      <w:proofErr w:type="spellEnd"/>
      <w:r w:rsidRPr="002B7048">
        <w:rPr>
          <w:rFonts w:asciiTheme="majorHAnsi" w:hAnsiTheme="majorHAnsi"/>
          <w:sz w:val="28"/>
          <w:szCs w:val="28"/>
          <w:lang w:val="en-GB"/>
        </w:rPr>
        <w:t xml:space="preserve"> engagement- </w:t>
      </w:r>
      <w:proofErr w:type="gramStart"/>
      <w:r w:rsidRPr="002B7048">
        <w:rPr>
          <w:rFonts w:asciiTheme="majorHAnsi" w:hAnsiTheme="majorHAnsi"/>
          <w:sz w:val="28"/>
          <w:szCs w:val="28"/>
          <w:lang w:val="en-GB"/>
        </w:rPr>
        <w:t>at ?ICP</w:t>
      </w:r>
      <w:proofErr w:type="gramEnd"/>
      <w:r w:rsidRPr="002B7048">
        <w:rPr>
          <w:rFonts w:asciiTheme="majorHAnsi" w:hAnsiTheme="majorHAnsi"/>
          <w:sz w:val="28"/>
          <w:szCs w:val="28"/>
          <w:lang w:val="en-GB"/>
        </w:rPr>
        <w:t xml:space="preserve"> level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6. Training hub offer towards supervision of clinical pharmacist and link workers- I think this is a quick win and Helen Griffiths is picking this up with NATH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7. Consider </w:t>
      </w:r>
      <w:proofErr w:type="spellStart"/>
      <w:r w:rsidRPr="002B7048">
        <w:rPr>
          <w:rFonts w:asciiTheme="majorHAnsi" w:hAnsiTheme="majorHAnsi"/>
          <w:sz w:val="28"/>
          <w:szCs w:val="28"/>
          <w:lang w:val="en-GB"/>
        </w:rPr>
        <w:t>teamnet</w:t>
      </w:r>
      <w:proofErr w:type="spellEnd"/>
      <w:r w:rsidRPr="002B7048">
        <w:rPr>
          <w:rFonts w:asciiTheme="majorHAnsi" w:hAnsiTheme="majorHAnsi"/>
          <w:sz w:val="28"/>
          <w:szCs w:val="28"/>
          <w:lang w:val="en-GB"/>
        </w:rPr>
        <w:t xml:space="preserve"> to have workforce page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8. Using web based tools for remote supervision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 xml:space="preserve">9. Staff wellbeing offer- what is </w:t>
      </w:r>
      <w:proofErr w:type="gramStart"/>
      <w:r w:rsidRPr="002B7048">
        <w:rPr>
          <w:rFonts w:asciiTheme="majorHAnsi" w:hAnsiTheme="majorHAnsi"/>
          <w:sz w:val="28"/>
          <w:szCs w:val="28"/>
          <w:lang w:val="en-GB"/>
        </w:rPr>
        <w:t>there</w:t>
      </w:r>
      <w:proofErr w:type="gramEnd"/>
      <w:r w:rsidRPr="002B7048">
        <w:rPr>
          <w:rFonts w:asciiTheme="majorHAnsi" w:hAnsiTheme="majorHAnsi"/>
          <w:sz w:val="28"/>
          <w:szCs w:val="28"/>
          <w:lang w:val="en-GB"/>
        </w:rPr>
        <w:t xml:space="preserve"> currently being offered and what more can be done- I will raise this with People and culture board 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r w:rsidRPr="002B7048">
        <w:rPr>
          <w:rFonts w:asciiTheme="majorHAnsi" w:hAnsiTheme="majorHAnsi"/>
          <w:sz w:val="28"/>
          <w:szCs w:val="28"/>
          <w:lang w:val="en-GB"/>
        </w:rPr>
        <w:t>10. Any other feedback from those present will be welcome. My email address is sonali.kinra@nhs.net</w:t>
      </w:r>
    </w:p>
    <w:p w:rsidR="002B7048" w:rsidRPr="002B7048" w:rsidRDefault="002B7048" w:rsidP="002B7048">
      <w:pPr>
        <w:rPr>
          <w:rFonts w:asciiTheme="majorHAnsi" w:hAnsiTheme="majorHAnsi"/>
          <w:sz w:val="28"/>
          <w:szCs w:val="28"/>
          <w:lang w:val="en-GB"/>
        </w:rPr>
      </w:pPr>
      <w:bookmarkStart w:id="0" w:name="_GoBack"/>
      <w:bookmarkEnd w:id="0"/>
    </w:p>
    <w:p w:rsidR="009A6404" w:rsidRPr="002B7048" w:rsidRDefault="009A6404">
      <w:pPr>
        <w:rPr>
          <w:rFonts w:asciiTheme="majorHAnsi" w:hAnsiTheme="majorHAnsi"/>
          <w:sz w:val="28"/>
          <w:szCs w:val="28"/>
        </w:rPr>
      </w:pPr>
    </w:p>
    <w:sectPr w:rsidR="009A6404" w:rsidRPr="002B7048" w:rsidSect="009A64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8"/>
    <w:rsid w:val="002B7048"/>
    <w:rsid w:val="009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B2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Hariharan</dc:creator>
  <cp:keywords/>
  <dc:description/>
  <cp:lastModifiedBy>Deepak Hariharan</cp:lastModifiedBy>
  <cp:revision>1</cp:revision>
  <dcterms:created xsi:type="dcterms:W3CDTF">2020-02-03T09:40:00Z</dcterms:created>
  <dcterms:modified xsi:type="dcterms:W3CDTF">2020-02-03T09:41:00Z</dcterms:modified>
</cp:coreProperties>
</file>